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Look w:val="04A0"/>
      </w:tblPr>
      <w:tblGrid>
        <w:gridCol w:w="1044"/>
        <w:gridCol w:w="1043"/>
        <w:gridCol w:w="1529"/>
        <w:gridCol w:w="2404"/>
        <w:gridCol w:w="2303"/>
        <w:gridCol w:w="2074"/>
      </w:tblGrid>
      <w:tr w:rsidR="00085978" w:rsidRPr="00FE3965" w:rsidTr="00FE3965">
        <w:trPr>
          <w:trHeight w:val="20"/>
          <w:jc w:val="center"/>
        </w:trPr>
        <w:tc>
          <w:tcPr>
            <w:tcW w:w="1044" w:type="dxa"/>
            <w:shd w:val="clear" w:color="auto" w:fill="FDE9D9" w:themeFill="accent6" w:themeFillTint="33"/>
            <w:hideMark/>
          </w:tcPr>
          <w:p w:rsidR="00085978" w:rsidRPr="00FE3965" w:rsidRDefault="00085978" w:rsidP="008F4C6D">
            <w:pPr>
              <w:rPr>
                <w:rFonts w:asciiTheme="majorHAnsi" w:hAnsiTheme="majorHAnsi"/>
                <w:b/>
                <w:bCs/>
                <w:color w:val="auto"/>
              </w:rPr>
            </w:pPr>
            <w:r w:rsidRPr="00FE3965">
              <w:rPr>
                <w:rFonts w:asciiTheme="majorHAnsi" w:hAnsiTheme="majorHAnsi"/>
                <w:b/>
                <w:bCs/>
                <w:color w:val="auto"/>
              </w:rPr>
              <w:t>Gene Name</w:t>
            </w:r>
          </w:p>
        </w:tc>
        <w:tc>
          <w:tcPr>
            <w:tcW w:w="1043" w:type="dxa"/>
            <w:shd w:val="clear" w:color="auto" w:fill="FDE9D9" w:themeFill="accent6" w:themeFillTint="33"/>
            <w:hideMark/>
          </w:tcPr>
          <w:p w:rsidR="00085978" w:rsidRPr="00FE3965" w:rsidRDefault="00085978" w:rsidP="008F4C6D">
            <w:pPr>
              <w:rPr>
                <w:rFonts w:asciiTheme="majorHAnsi" w:hAnsiTheme="majorHAnsi"/>
                <w:b/>
                <w:bCs/>
                <w:color w:val="auto"/>
              </w:rPr>
            </w:pPr>
            <w:r w:rsidRPr="00FE3965">
              <w:rPr>
                <w:rFonts w:asciiTheme="majorHAnsi" w:hAnsiTheme="majorHAnsi"/>
                <w:b/>
                <w:bCs/>
                <w:color w:val="auto"/>
              </w:rPr>
              <w:t>Gene Symbol</w:t>
            </w:r>
          </w:p>
        </w:tc>
        <w:tc>
          <w:tcPr>
            <w:tcW w:w="1529" w:type="dxa"/>
            <w:shd w:val="clear" w:color="auto" w:fill="FDE9D9" w:themeFill="accent6" w:themeFillTint="33"/>
            <w:hideMark/>
          </w:tcPr>
          <w:p w:rsidR="00085978" w:rsidRPr="00FE3965" w:rsidRDefault="00085978" w:rsidP="008F4C6D">
            <w:pPr>
              <w:rPr>
                <w:rFonts w:asciiTheme="majorHAnsi" w:hAnsiTheme="majorHAnsi"/>
                <w:b/>
                <w:bCs/>
                <w:color w:val="auto"/>
              </w:rPr>
            </w:pPr>
            <w:r w:rsidRPr="00FE3965">
              <w:rPr>
                <w:rFonts w:asciiTheme="majorHAnsi" w:hAnsiTheme="majorHAnsi"/>
                <w:b/>
                <w:bCs/>
                <w:color w:val="auto"/>
              </w:rPr>
              <w:t>Aliases &amp; Descriptions</w:t>
            </w:r>
          </w:p>
        </w:tc>
        <w:tc>
          <w:tcPr>
            <w:tcW w:w="2404" w:type="dxa"/>
            <w:shd w:val="clear" w:color="auto" w:fill="FDE9D9" w:themeFill="accent6" w:themeFillTint="33"/>
            <w:hideMark/>
          </w:tcPr>
          <w:p w:rsidR="00085978" w:rsidRPr="00FE3965" w:rsidRDefault="00085978" w:rsidP="008F4C6D">
            <w:pPr>
              <w:rPr>
                <w:rFonts w:asciiTheme="majorHAnsi" w:hAnsiTheme="majorHAnsi"/>
                <w:b/>
                <w:bCs/>
                <w:color w:val="auto"/>
              </w:rPr>
            </w:pPr>
            <w:r w:rsidRPr="00FE3965">
              <w:rPr>
                <w:rFonts w:asciiTheme="majorHAnsi" w:hAnsiTheme="majorHAnsi"/>
                <w:b/>
                <w:bCs/>
                <w:color w:val="auto"/>
              </w:rPr>
              <w:t>Gene Ontology</w:t>
            </w:r>
          </w:p>
        </w:tc>
        <w:tc>
          <w:tcPr>
            <w:tcW w:w="2303" w:type="dxa"/>
            <w:shd w:val="clear" w:color="auto" w:fill="FDE9D9" w:themeFill="accent6" w:themeFillTint="33"/>
            <w:hideMark/>
          </w:tcPr>
          <w:p w:rsidR="00085978" w:rsidRPr="00FE3965" w:rsidRDefault="00085978" w:rsidP="008F4C6D">
            <w:pPr>
              <w:rPr>
                <w:rFonts w:asciiTheme="majorHAnsi" w:hAnsiTheme="majorHAnsi"/>
                <w:b/>
                <w:bCs/>
                <w:color w:val="auto"/>
              </w:rPr>
            </w:pPr>
            <w:r w:rsidRPr="00FE3965">
              <w:rPr>
                <w:rFonts w:asciiTheme="majorHAnsi" w:hAnsiTheme="majorHAnsi"/>
                <w:b/>
                <w:bCs/>
                <w:color w:val="auto"/>
              </w:rPr>
              <w:t>Expression in body fluids</w:t>
            </w:r>
          </w:p>
        </w:tc>
        <w:tc>
          <w:tcPr>
            <w:tcW w:w="2074" w:type="dxa"/>
            <w:shd w:val="clear" w:color="auto" w:fill="FDE9D9" w:themeFill="accent6" w:themeFillTint="33"/>
            <w:hideMark/>
          </w:tcPr>
          <w:p w:rsidR="00085978" w:rsidRPr="00FE3965" w:rsidRDefault="00085978" w:rsidP="008F4C6D">
            <w:pPr>
              <w:rPr>
                <w:rFonts w:asciiTheme="majorHAnsi" w:hAnsiTheme="majorHAnsi"/>
                <w:b/>
                <w:bCs/>
                <w:color w:val="auto"/>
              </w:rPr>
            </w:pPr>
            <w:r w:rsidRPr="00FE3965">
              <w:rPr>
                <w:rFonts w:asciiTheme="majorHAnsi" w:hAnsiTheme="majorHAnsi"/>
                <w:b/>
                <w:bCs/>
                <w:color w:val="auto"/>
              </w:rPr>
              <w:t>Putative Class</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C1orf31</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COA6</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C1orf31</w:t>
            </w:r>
            <w:r w:rsidR="006C4227" w:rsidRPr="00FE3965">
              <w:rPr>
                <w:rFonts w:asciiTheme="majorHAnsi" w:hAnsiTheme="majorHAnsi"/>
                <w:color w:val="auto"/>
              </w:rPr>
              <w:t xml:space="preserve"> </w:t>
            </w:r>
            <w:r w:rsidRPr="00FE3965">
              <w:rPr>
                <w:rFonts w:asciiTheme="majorHAnsi" w:hAnsiTheme="majorHAnsi"/>
                <w:color w:val="auto"/>
              </w:rPr>
              <w:t>| chromosome 1 open reading frame 31</w:t>
            </w:r>
            <w:r w:rsidR="006C4227" w:rsidRPr="00FE3965">
              <w:rPr>
                <w:rFonts w:asciiTheme="majorHAnsi" w:hAnsiTheme="majorHAnsi"/>
                <w:color w:val="auto"/>
              </w:rPr>
              <w:t xml:space="preserve"> </w:t>
            </w:r>
            <w:r w:rsidRPr="00FE3965">
              <w:rPr>
                <w:rFonts w:asciiTheme="majorHAnsi" w:hAnsiTheme="majorHAnsi"/>
                <w:color w:val="auto"/>
              </w:rPr>
              <w:t>|cytochrome c oxidase assembly factor 6 homolog</w:t>
            </w:r>
            <w:r w:rsidR="006C4227" w:rsidRPr="00FE3965">
              <w:rPr>
                <w:rFonts w:asciiTheme="majorHAnsi" w:hAnsiTheme="majorHAnsi"/>
                <w:color w:val="auto"/>
              </w:rPr>
              <w:t xml:space="preserve"> </w:t>
            </w:r>
            <w:r w:rsidRPr="00FE3965">
              <w:rPr>
                <w:rFonts w:asciiTheme="majorHAnsi" w:hAnsiTheme="majorHAnsi"/>
                <w:color w:val="auto"/>
              </w:rPr>
              <w:t>| cytochrome c oxidase assembly factor 6 homolog (</w:t>
            </w:r>
            <w:r w:rsidRPr="00FE3965">
              <w:rPr>
                <w:rFonts w:asciiTheme="majorHAnsi" w:hAnsiTheme="majorHAnsi"/>
                <w:i/>
                <w:color w:val="auto"/>
              </w:rPr>
              <w:t>S. cerevisiae</w:t>
            </w:r>
            <w:r w:rsidRPr="00FE3965">
              <w:rPr>
                <w:rFonts w:asciiTheme="majorHAnsi" w:hAnsiTheme="majorHAnsi"/>
                <w:color w:val="auto"/>
              </w:rPr>
              <w:t xml:space="preserve">)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GO:0005739 mitochondrion|GO:0004129 cytochrome-c oxidase activity| GO:0015077 monovalent inorganic cation transmembrane transporter activity|GO:0008152 Metabolism</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Blood plasma</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Enzyme (cytochrome c oxidase)</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C1orf198</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C1orf198</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chromosome 1 open reading frame 198 |uncharacterized protein C1orf198</w:t>
            </w:r>
            <w:r w:rsidR="006C4227" w:rsidRPr="00FE3965">
              <w:rPr>
                <w:rFonts w:asciiTheme="majorHAnsi" w:hAnsiTheme="majorHAnsi"/>
                <w:color w:val="auto"/>
              </w:rPr>
              <w:t xml:space="preserve">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GO:0005737 cytoplasm | Membrane</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Peripheral blood lymphocytes</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Uncharacterized</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C1orf200</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C1orf200</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chromosome 1 open reading frame 200|PIK3CD antisense RNA 1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Secretion by cell, Blood plasma</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Signal Transduction</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C1orf228</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C1orf228</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chromosome 1 open reading frame 228 | non-protein coding RNA 82</w:t>
            </w:r>
            <w:r w:rsidR="006C4227" w:rsidRPr="00FE3965">
              <w:rPr>
                <w:rFonts w:asciiTheme="majorHAnsi" w:hAnsiTheme="majorHAnsi"/>
                <w:color w:val="auto"/>
              </w:rPr>
              <w:t xml:space="preserve"> </w:t>
            </w:r>
            <w:r w:rsidRPr="00FE3965">
              <w:rPr>
                <w:rFonts w:asciiTheme="majorHAnsi" w:hAnsiTheme="majorHAnsi"/>
                <w:color w:val="auto"/>
              </w:rPr>
              <w:t>|uncharacterized protein C1orf228</w:t>
            </w:r>
            <w:r w:rsidR="006C4227" w:rsidRPr="00FE3965">
              <w:rPr>
                <w:rFonts w:asciiTheme="majorHAnsi" w:hAnsiTheme="majorHAnsi"/>
                <w:color w:val="auto"/>
              </w:rPr>
              <w:t xml:space="preserve"> </w:t>
            </w:r>
            <w:r w:rsidRPr="00FE3965">
              <w:rPr>
                <w:rFonts w:asciiTheme="majorHAnsi" w:hAnsiTheme="majorHAnsi"/>
                <w:color w:val="auto"/>
              </w:rPr>
              <w:t>| p40</w:t>
            </w:r>
            <w:r w:rsidR="006C4227" w:rsidRPr="00FE3965">
              <w:rPr>
                <w:rFonts w:asciiTheme="majorHAnsi" w:hAnsiTheme="majorHAnsi"/>
                <w:color w:val="auto"/>
              </w:rPr>
              <w:t xml:space="preserve"> </w:t>
            </w:r>
            <w:r w:rsidRPr="00FE3965">
              <w:rPr>
                <w:rFonts w:asciiTheme="majorHAnsi" w:hAnsiTheme="majorHAnsi"/>
                <w:color w:val="auto"/>
              </w:rPr>
              <w:t>| NCRNA00082</w:t>
            </w:r>
            <w:r w:rsidR="006C4227" w:rsidRPr="00FE3965">
              <w:rPr>
                <w:rFonts w:asciiTheme="majorHAnsi" w:hAnsiTheme="majorHAnsi"/>
                <w:color w:val="auto"/>
              </w:rPr>
              <w:t xml:space="preserve">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GO:0005488 binding</w:t>
            </w:r>
            <w:r w:rsidR="006C4227" w:rsidRPr="00FE3965">
              <w:rPr>
                <w:rFonts w:asciiTheme="majorHAnsi" w:hAnsiTheme="majorHAnsi"/>
                <w:color w:val="auto"/>
              </w:rPr>
              <w:t xml:space="preserve"> </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Bone marrow</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Nucleotide and Protein Binding</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C2orf27A</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C2orf27A</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C2orf27</w:t>
            </w:r>
            <w:r w:rsidR="006C4227" w:rsidRPr="00FE3965">
              <w:rPr>
                <w:rFonts w:asciiTheme="majorHAnsi" w:hAnsiTheme="majorHAnsi"/>
                <w:color w:val="auto"/>
              </w:rPr>
              <w:t xml:space="preserve"> </w:t>
            </w:r>
            <w:r w:rsidRPr="00FE3965">
              <w:rPr>
                <w:rFonts w:asciiTheme="majorHAnsi" w:hAnsiTheme="majorHAnsi"/>
                <w:color w:val="auto"/>
              </w:rPr>
              <w:t>| chromosome 2 open reading frame 27A | uncharacterized protein C2orf27</w:t>
            </w:r>
            <w:r w:rsidR="006C4227" w:rsidRPr="00FE3965">
              <w:rPr>
                <w:rFonts w:asciiTheme="majorHAnsi" w:hAnsiTheme="majorHAnsi"/>
                <w:color w:val="auto"/>
              </w:rPr>
              <w:t xml:space="preserve"> </w:t>
            </w:r>
            <w:r w:rsidRPr="00FE3965">
              <w:rPr>
                <w:rFonts w:asciiTheme="majorHAnsi" w:hAnsiTheme="majorHAnsi"/>
                <w:color w:val="auto"/>
              </w:rPr>
              <w:t>|C2orf27B</w:t>
            </w:r>
            <w:r w:rsidR="006C4227" w:rsidRPr="00FE3965">
              <w:rPr>
                <w:rFonts w:asciiTheme="majorHAnsi" w:hAnsiTheme="majorHAnsi"/>
                <w:color w:val="auto"/>
              </w:rPr>
              <w:t xml:space="preserve"> </w:t>
            </w:r>
            <w:r w:rsidRPr="00FE3965">
              <w:rPr>
                <w:rFonts w:asciiTheme="majorHAnsi" w:hAnsiTheme="majorHAnsi"/>
                <w:color w:val="auto"/>
              </w:rPr>
              <w:t>| chromosome 2 open reading frame 27</w:t>
            </w:r>
            <w:r w:rsidR="006C4227" w:rsidRPr="00FE3965">
              <w:rPr>
                <w:rFonts w:asciiTheme="majorHAnsi" w:hAnsiTheme="majorHAnsi"/>
                <w:color w:val="auto"/>
              </w:rPr>
              <w:t xml:space="preserve">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GO:0005576 extracellular region</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Saliva</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Uncharacterized</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C2orf42</w:t>
            </w:r>
            <w:r w:rsidRPr="00FE3965">
              <w:rPr>
                <w:rFonts w:asciiTheme="majorHAnsi" w:hAnsiTheme="majorHAnsi"/>
                <w:color w:val="auto"/>
              </w:rPr>
              <w:lastRenderedPageBreak/>
              <w:t xml:space="preserve">¶ </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lastRenderedPageBreak/>
              <w:t>C2orf42</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uncharacteriz</w:t>
            </w:r>
            <w:r w:rsidRPr="00FE3965">
              <w:rPr>
                <w:rFonts w:asciiTheme="majorHAnsi" w:hAnsiTheme="majorHAnsi"/>
                <w:color w:val="auto"/>
              </w:rPr>
              <w:lastRenderedPageBreak/>
              <w:t>ed protein C2orf42</w:t>
            </w:r>
            <w:r w:rsidR="006C4227" w:rsidRPr="00FE3965">
              <w:rPr>
                <w:rFonts w:asciiTheme="majorHAnsi" w:hAnsiTheme="majorHAnsi"/>
                <w:color w:val="auto"/>
              </w:rPr>
              <w:t xml:space="preserve"> </w:t>
            </w:r>
            <w:r w:rsidRPr="00FE3965">
              <w:rPr>
                <w:rFonts w:asciiTheme="majorHAnsi" w:hAnsiTheme="majorHAnsi"/>
                <w:color w:val="auto"/>
              </w:rPr>
              <w:t xml:space="preserve">| chromosome 2 open reading frame 42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lastRenderedPageBreak/>
              <w:t xml:space="preserve">GO:0005737 </w:t>
            </w:r>
            <w:r w:rsidRPr="00FE3965">
              <w:rPr>
                <w:rFonts w:asciiTheme="majorHAnsi" w:hAnsiTheme="majorHAnsi"/>
                <w:color w:val="auto"/>
              </w:rPr>
              <w:lastRenderedPageBreak/>
              <w:t>cytoplasm | Membrane</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lastRenderedPageBreak/>
              <w:t>Ascites</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 xml:space="preserve">Metal Binding </w:t>
            </w:r>
            <w:r w:rsidRPr="00FE3965">
              <w:rPr>
                <w:rFonts w:asciiTheme="majorHAnsi" w:hAnsiTheme="majorHAnsi"/>
                <w:bCs/>
                <w:color w:val="auto"/>
              </w:rPr>
              <w:lastRenderedPageBreak/>
              <w:t>(Zinc)|transcription factor|lncRNA</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lastRenderedPageBreak/>
              <w:t xml:space="preserve">C2orf72¶ </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C2orf72</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chromosome 2 open reading frame 72 |uncharacterized protein C2orf72</w:t>
            </w:r>
            <w:r w:rsidR="006C4227" w:rsidRPr="00FE3965">
              <w:rPr>
                <w:rFonts w:asciiTheme="majorHAnsi" w:hAnsiTheme="majorHAnsi"/>
                <w:color w:val="auto"/>
              </w:rPr>
              <w:t xml:space="preserve">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GO:0005576 extracellular region |Membrane|GO:0005515 protein binding</w:t>
            </w:r>
            <w:r w:rsidR="006C4227" w:rsidRPr="00FE3965">
              <w:rPr>
                <w:rFonts w:asciiTheme="majorHAnsi" w:hAnsiTheme="majorHAnsi"/>
                <w:color w:val="auto"/>
              </w:rPr>
              <w:t xml:space="preserve"> </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Whole blood</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Uncharacterized|ncRNA</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C6orf99</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C6orf99</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chromosome 6 open reading frame 99 | yR211F11.1</w:t>
            </w:r>
            <w:r w:rsidR="006C4227" w:rsidRPr="00FE3965">
              <w:rPr>
                <w:rFonts w:asciiTheme="majorHAnsi" w:hAnsiTheme="majorHAnsi"/>
                <w:color w:val="auto"/>
              </w:rPr>
              <w:t xml:space="preserve"> </w:t>
            </w:r>
            <w:r w:rsidRPr="00FE3965">
              <w:rPr>
                <w:rFonts w:asciiTheme="majorHAnsi" w:hAnsiTheme="majorHAnsi"/>
                <w:color w:val="auto"/>
              </w:rPr>
              <w:t>|putative uncharacterized protein C6orf99</w:t>
            </w:r>
            <w:r w:rsidR="006C4227" w:rsidRPr="00FE3965">
              <w:rPr>
                <w:rFonts w:asciiTheme="majorHAnsi" w:hAnsiTheme="majorHAnsi"/>
                <w:color w:val="auto"/>
              </w:rPr>
              <w:t xml:space="preserve">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Blood plasma</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Uncharacterized</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C10orf128 </w:t>
            </w:r>
            <w:r w:rsidRPr="00FE3965">
              <w:rPr>
                <w:rFonts w:asciiTheme="majorHAnsi" w:eastAsia="MS Gothic" w:hAnsi="MS Gothic" w:cs="MS Gothic"/>
                <w:color w:val="auto"/>
              </w:rPr>
              <w:t>★</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C10orf128</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chromosome 10 open reading frame 128 |putative uncharacterized protein C10orf128</w:t>
            </w:r>
            <w:r w:rsidR="006C4227" w:rsidRPr="00FE3965">
              <w:rPr>
                <w:rFonts w:asciiTheme="majorHAnsi" w:hAnsiTheme="majorHAnsi"/>
                <w:color w:val="auto"/>
              </w:rPr>
              <w:t xml:space="preserve">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GO:0016021 integral to membrane |GO:0031224 intrinsic to membrane</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Blood plasma</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Secreted | Transmembrane</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C13orf34</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BORA</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bora, aurora kinase A activator | hsBora</w:t>
            </w:r>
            <w:r w:rsidR="006C4227" w:rsidRPr="00FE3965">
              <w:rPr>
                <w:rFonts w:asciiTheme="majorHAnsi" w:hAnsiTheme="majorHAnsi"/>
                <w:color w:val="auto"/>
              </w:rPr>
              <w:t xml:space="preserve"> </w:t>
            </w:r>
            <w:r w:rsidRPr="00FE3965">
              <w:rPr>
                <w:rFonts w:asciiTheme="majorHAnsi" w:hAnsiTheme="majorHAnsi"/>
                <w:color w:val="auto"/>
              </w:rPr>
              <w:t>| HsBora</w:t>
            </w:r>
            <w:r w:rsidR="006C4227" w:rsidRPr="00FE3965">
              <w:rPr>
                <w:rFonts w:asciiTheme="majorHAnsi" w:hAnsiTheme="majorHAnsi"/>
                <w:color w:val="auto"/>
              </w:rPr>
              <w:t xml:space="preserve"> </w:t>
            </w:r>
            <w:r w:rsidRPr="00FE3965">
              <w:rPr>
                <w:rFonts w:asciiTheme="majorHAnsi" w:hAnsiTheme="majorHAnsi"/>
                <w:color w:val="auto"/>
              </w:rPr>
              <w:t>|aurora borealis</w:t>
            </w:r>
            <w:r w:rsidR="006C4227" w:rsidRPr="00FE3965">
              <w:rPr>
                <w:rFonts w:asciiTheme="majorHAnsi" w:hAnsiTheme="majorHAnsi"/>
                <w:color w:val="auto"/>
              </w:rPr>
              <w:t xml:space="preserve"> </w:t>
            </w:r>
            <w:r w:rsidRPr="00FE3965">
              <w:rPr>
                <w:rFonts w:asciiTheme="majorHAnsi" w:hAnsiTheme="majorHAnsi"/>
                <w:color w:val="auto"/>
              </w:rPr>
              <w:t>| chromosome 13 open reading frame 34</w:t>
            </w:r>
            <w:r w:rsidR="006C4227" w:rsidRPr="00FE3965">
              <w:rPr>
                <w:rFonts w:asciiTheme="majorHAnsi" w:hAnsiTheme="majorHAnsi"/>
                <w:color w:val="auto"/>
              </w:rPr>
              <w:t xml:space="preserve"> </w:t>
            </w:r>
            <w:r w:rsidRPr="00FE3965">
              <w:rPr>
                <w:rFonts w:asciiTheme="majorHAnsi" w:hAnsiTheme="majorHAnsi"/>
                <w:color w:val="auto"/>
              </w:rPr>
              <w:t>| protein aurora borealis</w:t>
            </w:r>
            <w:r w:rsidR="006C4227" w:rsidRPr="00FE3965">
              <w:rPr>
                <w:rFonts w:asciiTheme="majorHAnsi" w:hAnsiTheme="majorHAnsi"/>
                <w:color w:val="auto"/>
              </w:rPr>
              <w:t xml:space="preserve"> </w:t>
            </w:r>
            <w:r w:rsidRPr="00FE3965">
              <w:rPr>
                <w:rFonts w:asciiTheme="majorHAnsi" w:hAnsiTheme="majorHAnsi"/>
                <w:color w:val="auto"/>
              </w:rPr>
              <w:t>| C13orf34</w:t>
            </w:r>
            <w:r w:rsidR="006C4227" w:rsidRPr="00FE3965">
              <w:rPr>
                <w:rFonts w:asciiTheme="majorHAnsi" w:hAnsiTheme="majorHAnsi"/>
                <w:color w:val="auto"/>
              </w:rPr>
              <w:t xml:space="preserve">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GO:0005634 Nucleus | GO:0005737 Cytoplasm|GO:0019901 protein kinase binding| GO:0000087 M phase of mitotic cell cycle</w:t>
            </w:r>
            <w:r w:rsidR="006C4227" w:rsidRPr="00FE3965">
              <w:rPr>
                <w:rFonts w:asciiTheme="majorHAnsi" w:hAnsiTheme="majorHAnsi"/>
                <w:color w:val="auto"/>
              </w:rPr>
              <w:t xml:space="preserve"> </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Enzyme regulator</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C16orf72</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C16orf72</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PRO0149</w:t>
            </w:r>
            <w:r w:rsidR="006C4227" w:rsidRPr="00FE3965">
              <w:rPr>
                <w:rFonts w:asciiTheme="majorHAnsi" w:hAnsiTheme="majorHAnsi"/>
                <w:color w:val="auto"/>
              </w:rPr>
              <w:t xml:space="preserve"> </w:t>
            </w:r>
            <w:r w:rsidRPr="00FE3965">
              <w:rPr>
                <w:rFonts w:asciiTheme="majorHAnsi" w:hAnsiTheme="majorHAnsi"/>
                <w:color w:val="auto"/>
              </w:rPr>
              <w:t>| UPF0472 protein C16orf72</w:t>
            </w:r>
            <w:r w:rsidR="006C4227" w:rsidRPr="00FE3965">
              <w:rPr>
                <w:rFonts w:asciiTheme="majorHAnsi" w:hAnsiTheme="majorHAnsi"/>
                <w:color w:val="auto"/>
              </w:rPr>
              <w:t xml:space="preserve"> </w:t>
            </w:r>
            <w:r w:rsidRPr="00FE3965">
              <w:rPr>
                <w:rFonts w:asciiTheme="majorHAnsi" w:hAnsiTheme="majorHAnsi"/>
                <w:color w:val="auto"/>
              </w:rPr>
              <w:t xml:space="preserve">| chromosome 16 open reading frame 72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Blood plasma</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Phosphoprotein</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C20orf117</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SOGA1</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suppressor of glucose, autophagy associated 1 | suppressor of </w:t>
            </w:r>
            <w:r w:rsidRPr="00FE3965">
              <w:rPr>
                <w:rFonts w:asciiTheme="majorHAnsi" w:hAnsiTheme="majorHAnsi"/>
                <w:color w:val="auto"/>
              </w:rPr>
              <w:lastRenderedPageBreak/>
              <w:t>glucose, autophagy-associated protein 1</w:t>
            </w:r>
            <w:r w:rsidR="006C4227" w:rsidRPr="00FE3965">
              <w:rPr>
                <w:rFonts w:asciiTheme="majorHAnsi" w:hAnsiTheme="majorHAnsi"/>
                <w:color w:val="auto"/>
              </w:rPr>
              <w:t xml:space="preserve"> </w:t>
            </w:r>
            <w:r w:rsidRPr="00FE3965">
              <w:rPr>
                <w:rFonts w:asciiTheme="majorHAnsi" w:hAnsiTheme="majorHAnsi"/>
                <w:color w:val="auto"/>
              </w:rPr>
              <w:t>| C20orf117</w:t>
            </w:r>
            <w:r w:rsidR="006C4227" w:rsidRPr="00FE3965">
              <w:rPr>
                <w:rFonts w:asciiTheme="majorHAnsi" w:hAnsiTheme="majorHAnsi"/>
                <w:color w:val="auto"/>
              </w:rPr>
              <w:t xml:space="preserve"> </w:t>
            </w:r>
            <w:r w:rsidRPr="00FE3965">
              <w:rPr>
                <w:rFonts w:asciiTheme="majorHAnsi" w:hAnsiTheme="majorHAnsi"/>
                <w:color w:val="auto"/>
              </w:rPr>
              <w:t>| "suppressor of glucose from autophagy"</w:t>
            </w:r>
            <w:r w:rsidR="006C4227" w:rsidRPr="00FE3965">
              <w:rPr>
                <w:rFonts w:asciiTheme="majorHAnsi" w:hAnsiTheme="majorHAnsi"/>
                <w:color w:val="auto"/>
              </w:rPr>
              <w:t xml:space="preserve"> </w:t>
            </w:r>
            <w:r w:rsidRPr="00FE3965">
              <w:rPr>
                <w:rFonts w:asciiTheme="majorHAnsi" w:hAnsiTheme="majorHAnsi"/>
                <w:color w:val="auto"/>
              </w:rPr>
              <w:t>| Suppressor of glucose, autophagy-associated protein 1</w:t>
            </w:r>
            <w:r w:rsidR="006C4227" w:rsidRPr="00FE3965">
              <w:rPr>
                <w:rFonts w:asciiTheme="majorHAnsi" w:hAnsiTheme="majorHAnsi"/>
                <w:color w:val="auto"/>
              </w:rPr>
              <w:t xml:space="preserve"> </w:t>
            </w:r>
            <w:r w:rsidRPr="00FE3965">
              <w:rPr>
                <w:rFonts w:asciiTheme="majorHAnsi" w:hAnsiTheme="majorHAnsi"/>
                <w:color w:val="auto"/>
              </w:rPr>
              <w:t>| Suppressor of glucose by autophagy</w:t>
            </w:r>
            <w:r w:rsidR="006C4227" w:rsidRPr="00FE3965">
              <w:rPr>
                <w:rFonts w:asciiTheme="majorHAnsi" w:hAnsiTheme="majorHAnsi"/>
                <w:color w:val="auto"/>
              </w:rPr>
              <w:t xml:space="preserve"> </w:t>
            </w:r>
            <w:r w:rsidRPr="00FE3965">
              <w:rPr>
                <w:rFonts w:asciiTheme="majorHAnsi" w:hAnsiTheme="majorHAnsi"/>
                <w:color w:val="auto"/>
              </w:rPr>
              <w:t>|protein SOGA1</w:t>
            </w:r>
            <w:r w:rsidR="006C4227" w:rsidRPr="00FE3965">
              <w:rPr>
                <w:rFonts w:asciiTheme="majorHAnsi" w:hAnsiTheme="majorHAnsi"/>
                <w:color w:val="auto"/>
              </w:rPr>
              <w:t xml:space="preserve"> </w:t>
            </w:r>
            <w:r w:rsidRPr="00FE3965">
              <w:rPr>
                <w:rFonts w:asciiTheme="majorHAnsi" w:hAnsiTheme="majorHAnsi"/>
                <w:color w:val="auto"/>
              </w:rPr>
              <w:t>| SOGA</w:t>
            </w:r>
            <w:r w:rsidR="006C4227" w:rsidRPr="00FE3965">
              <w:rPr>
                <w:rFonts w:asciiTheme="majorHAnsi" w:hAnsiTheme="majorHAnsi"/>
                <w:color w:val="auto"/>
              </w:rPr>
              <w:t xml:space="preserve"> </w:t>
            </w:r>
            <w:r w:rsidRPr="00FE3965">
              <w:rPr>
                <w:rFonts w:asciiTheme="majorHAnsi" w:hAnsiTheme="majorHAnsi"/>
                <w:color w:val="auto"/>
              </w:rPr>
              <w:t>| chromosome 20 open reading frame 117</w:t>
            </w:r>
            <w:r w:rsidR="006C4227" w:rsidRPr="00FE3965">
              <w:rPr>
                <w:rFonts w:asciiTheme="majorHAnsi" w:hAnsiTheme="majorHAnsi"/>
                <w:color w:val="auto"/>
              </w:rPr>
              <w:t xml:space="preserve"> </w:t>
            </w:r>
            <w:r w:rsidRPr="00FE3965">
              <w:rPr>
                <w:rFonts w:asciiTheme="majorHAnsi" w:hAnsiTheme="majorHAnsi"/>
                <w:color w:val="auto"/>
              </w:rPr>
              <w:t>| suppressor of glucose from autophagy</w:t>
            </w:r>
            <w:r w:rsidR="006C4227" w:rsidRPr="00FE3965">
              <w:rPr>
                <w:rFonts w:asciiTheme="majorHAnsi" w:hAnsiTheme="majorHAnsi"/>
                <w:color w:val="auto"/>
              </w:rPr>
              <w:t xml:space="preserve"> </w:t>
            </w:r>
            <w:r w:rsidRPr="00FE3965">
              <w:rPr>
                <w:rFonts w:asciiTheme="majorHAnsi" w:hAnsiTheme="majorHAnsi"/>
                <w:color w:val="auto"/>
              </w:rPr>
              <w:t>| SOGA family member 1</w:t>
            </w:r>
            <w:r w:rsidR="006C4227" w:rsidRPr="00FE3965">
              <w:rPr>
                <w:rFonts w:asciiTheme="majorHAnsi" w:hAnsiTheme="majorHAnsi"/>
                <w:color w:val="auto"/>
              </w:rPr>
              <w:t xml:space="preserve"> </w:t>
            </w:r>
            <w:r w:rsidRPr="00FE3965">
              <w:rPr>
                <w:rFonts w:asciiTheme="majorHAnsi" w:hAnsiTheme="majorHAnsi"/>
                <w:color w:val="auto"/>
              </w:rPr>
              <w:t>| KIAA0889</w:t>
            </w:r>
            <w:r w:rsidR="006C4227" w:rsidRPr="00FE3965">
              <w:rPr>
                <w:rFonts w:asciiTheme="majorHAnsi" w:hAnsiTheme="majorHAnsi"/>
                <w:color w:val="auto"/>
              </w:rPr>
              <w:t xml:space="preserve"> </w:t>
            </w:r>
            <w:r w:rsidRPr="00FE3965">
              <w:rPr>
                <w:rFonts w:asciiTheme="majorHAnsi" w:hAnsiTheme="majorHAnsi"/>
                <w:color w:val="auto"/>
              </w:rPr>
              <w:t>| suppressor of glucose by autophagy</w:t>
            </w:r>
            <w:r w:rsidR="006C4227" w:rsidRPr="00FE3965">
              <w:rPr>
                <w:rFonts w:asciiTheme="majorHAnsi" w:hAnsiTheme="majorHAnsi"/>
                <w:color w:val="auto"/>
              </w:rPr>
              <w:t xml:space="preserve"> </w:t>
            </w:r>
            <w:r w:rsidRPr="00FE3965">
              <w:rPr>
                <w:rFonts w:asciiTheme="majorHAnsi" w:hAnsiTheme="majorHAnsi"/>
                <w:color w:val="auto"/>
              </w:rPr>
              <w:t>| "suppressor of glucose by autophagy"</w:t>
            </w:r>
            <w:r w:rsidR="006C4227" w:rsidRPr="00FE3965">
              <w:rPr>
                <w:rFonts w:asciiTheme="majorHAnsi" w:hAnsiTheme="majorHAnsi"/>
                <w:color w:val="auto"/>
              </w:rPr>
              <w:t xml:space="preserve">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lastRenderedPageBreak/>
              <w:t xml:space="preserve"> GO:0005615 extracellular space</w:t>
            </w:r>
            <w:r w:rsidRPr="00FE3965">
              <w:rPr>
                <w:rFonts w:asciiTheme="majorHAnsi" w:hAnsiTheme="majorHAnsi"/>
                <w:color w:val="auto"/>
              </w:rPr>
              <w:br/>
              <w:t xml:space="preserve">| GO:0010506 regulation of autophagy </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Blood plasma</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Regulator | glucose suppressor</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lastRenderedPageBreak/>
              <w:t>C20orf132</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MROH8</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chromosome 20 open reading frame 131</w:t>
            </w:r>
            <w:r w:rsidR="006C4227" w:rsidRPr="00FE3965">
              <w:rPr>
                <w:rFonts w:asciiTheme="majorHAnsi" w:hAnsiTheme="majorHAnsi"/>
                <w:color w:val="auto"/>
              </w:rPr>
              <w:t xml:space="preserve"> </w:t>
            </w:r>
            <w:r w:rsidRPr="00FE3965">
              <w:rPr>
                <w:rFonts w:asciiTheme="majorHAnsi" w:hAnsiTheme="majorHAnsi"/>
                <w:color w:val="auto"/>
              </w:rPr>
              <w:t>| "hypothetical protein LOC140699"</w:t>
            </w:r>
            <w:r w:rsidR="006C4227" w:rsidRPr="00FE3965">
              <w:rPr>
                <w:rFonts w:asciiTheme="majorHAnsi" w:hAnsiTheme="majorHAnsi"/>
                <w:color w:val="auto"/>
              </w:rPr>
              <w:t xml:space="preserve"> </w:t>
            </w:r>
            <w:r w:rsidRPr="00FE3965">
              <w:rPr>
                <w:rFonts w:asciiTheme="majorHAnsi" w:hAnsiTheme="majorHAnsi"/>
                <w:color w:val="auto"/>
              </w:rPr>
              <w:t>| chromosome 20 open reading frame 132</w:t>
            </w:r>
            <w:r w:rsidR="006C4227" w:rsidRPr="00FE3965">
              <w:rPr>
                <w:rFonts w:asciiTheme="majorHAnsi" w:hAnsiTheme="majorHAnsi"/>
                <w:color w:val="auto"/>
              </w:rPr>
              <w:t xml:space="preserve"> </w:t>
            </w:r>
            <w:r w:rsidRPr="00FE3965">
              <w:rPr>
                <w:rFonts w:asciiTheme="majorHAnsi" w:hAnsiTheme="majorHAnsi"/>
                <w:color w:val="auto"/>
              </w:rPr>
              <w:t>| Maestro heat-like repeat-containing protein family member 8</w:t>
            </w:r>
            <w:r w:rsidR="006C4227" w:rsidRPr="00FE3965">
              <w:rPr>
                <w:rFonts w:asciiTheme="majorHAnsi" w:hAnsiTheme="majorHAnsi"/>
                <w:color w:val="auto"/>
              </w:rPr>
              <w:t xml:space="preserve"> </w:t>
            </w:r>
            <w:r w:rsidRPr="00FE3965">
              <w:rPr>
                <w:rFonts w:asciiTheme="majorHAnsi" w:hAnsiTheme="majorHAnsi"/>
                <w:color w:val="auto"/>
              </w:rPr>
              <w:t>| protein MROH8</w:t>
            </w:r>
            <w:r w:rsidR="006C4227" w:rsidRPr="00FE3965">
              <w:rPr>
                <w:rFonts w:asciiTheme="majorHAnsi" w:hAnsiTheme="majorHAnsi"/>
                <w:color w:val="auto"/>
              </w:rPr>
              <w:t xml:space="preserve"> </w:t>
            </w:r>
            <w:r w:rsidRPr="00FE3965">
              <w:rPr>
                <w:rFonts w:asciiTheme="majorHAnsi" w:hAnsiTheme="majorHAnsi"/>
                <w:color w:val="auto"/>
              </w:rPr>
              <w:t>| maestro heat-like repeat-</w:t>
            </w:r>
            <w:r w:rsidRPr="00FE3965">
              <w:rPr>
                <w:rFonts w:asciiTheme="majorHAnsi" w:hAnsiTheme="majorHAnsi"/>
                <w:color w:val="auto"/>
              </w:rPr>
              <w:lastRenderedPageBreak/>
              <w:t>containing protein family member 8</w:t>
            </w:r>
            <w:r w:rsidR="006C4227" w:rsidRPr="00FE3965">
              <w:rPr>
                <w:rFonts w:asciiTheme="majorHAnsi" w:hAnsiTheme="majorHAnsi"/>
                <w:color w:val="auto"/>
              </w:rPr>
              <w:t xml:space="preserve"> </w:t>
            </w:r>
            <w:r w:rsidRPr="00FE3965">
              <w:rPr>
                <w:rFonts w:asciiTheme="majorHAnsi" w:hAnsiTheme="majorHAnsi"/>
                <w:color w:val="auto"/>
              </w:rPr>
              <w:t>| dJ621N11.4</w:t>
            </w:r>
            <w:r w:rsidR="006C4227" w:rsidRPr="00FE3965">
              <w:rPr>
                <w:rFonts w:asciiTheme="majorHAnsi" w:hAnsiTheme="majorHAnsi"/>
                <w:color w:val="auto"/>
              </w:rPr>
              <w:t xml:space="preserve"> </w:t>
            </w:r>
            <w:r w:rsidRPr="00FE3965">
              <w:rPr>
                <w:rFonts w:asciiTheme="majorHAnsi" w:hAnsiTheme="majorHAnsi"/>
                <w:color w:val="auto"/>
              </w:rPr>
              <w:t>| maestro heat-like repeat family member 8 | C20orf132</w:t>
            </w:r>
            <w:r w:rsidR="006C4227" w:rsidRPr="00FE3965">
              <w:rPr>
                <w:rFonts w:asciiTheme="majorHAnsi" w:hAnsiTheme="majorHAnsi"/>
                <w:color w:val="auto"/>
              </w:rPr>
              <w:t xml:space="preserve"> </w:t>
            </w:r>
            <w:r w:rsidRPr="00FE3965">
              <w:rPr>
                <w:rFonts w:asciiTheme="majorHAnsi" w:hAnsiTheme="majorHAnsi"/>
                <w:color w:val="auto"/>
              </w:rPr>
              <w:t>| C20orf131</w:t>
            </w:r>
            <w:r w:rsidR="006C4227" w:rsidRPr="00FE3965">
              <w:rPr>
                <w:rFonts w:asciiTheme="majorHAnsi" w:hAnsiTheme="majorHAnsi"/>
                <w:color w:val="auto"/>
              </w:rPr>
              <w:t xml:space="preserve"> </w:t>
            </w:r>
            <w:r w:rsidRPr="00FE3965">
              <w:rPr>
                <w:rFonts w:asciiTheme="majorHAnsi" w:hAnsiTheme="majorHAnsi"/>
                <w:color w:val="auto"/>
              </w:rPr>
              <w:t>|dJ621N11.3</w:t>
            </w:r>
            <w:r w:rsidR="006C4227" w:rsidRPr="00FE3965">
              <w:rPr>
                <w:rFonts w:asciiTheme="majorHAnsi" w:hAnsiTheme="majorHAnsi"/>
                <w:color w:val="auto"/>
              </w:rPr>
              <w:t xml:space="preserve">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lastRenderedPageBreak/>
              <w:t xml:space="preserve">GO:0005730 Nucleolus|GO:0005488 binding </w:t>
            </w:r>
            <w:r w:rsidRPr="00FE3965">
              <w:rPr>
                <w:rFonts w:asciiTheme="majorHAnsi" w:hAnsiTheme="majorHAnsi"/>
                <w:color w:val="auto"/>
              </w:rPr>
              <w:br/>
            </w:r>
            <w:r w:rsidRPr="00FE3965">
              <w:rPr>
                <w:rFonts w:asciiTheme="majorHAnsi" w:hAnsiTheme="majorHAnsi"/>
                <w:color w:val="auto"/>
              </w:rPr>
              <w:br/>
            </w:r>
            <w:r w:rsidRPr="00FE3965">
              <w:rPr>
                <w:rFonts w:asciiTheme="majorHAnsi" w:hAnsiTheme="majorHAnsi"/>
                <w:color w:val="auto"/>
              </w:rPr>
              <w:br/>
            </w:r>
            <w:r w:rsidR="006C4227" w:rsidRPr="00FE3965">
              <w:rPr>
                <w:rFonts w:asciiTheme="majorHAnsi" w:hAnsiTheme="majorHAnsi"/>
                <w:color w:val="auto"/>
              </w:rPr>
              <w:t xml:space="preserve"> </w:t>
            </w:r>
            <w:r w:rsidRPr="00FE3965">
              <w:rPr>
                <w:rFonts w:asciiTheme="majorHAnsi" w:hAnsiTheme="majorHAnsi"/>
                <w:color w:val="auto"/>
              </w:rPr>
              <w:br/>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Nucleotide binding | Protein binding</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lastRenderedPageBreak/>
              <w:t>C21orf88</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C21orf88</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chromosome 21 open reading frame 88|B3GALT5 antisense RNA 1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GO:0005576 extracellular region</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Blood plasma</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Uncharacterized</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CXorf21</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CXorf21</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chromosome X open reading frame 21 |uncharacterized protein CXorf21</w:t>
            </w:r>
            <w:r w:rsidR="006C4227" w:rsidRPr="00FE3965">
              <w:rPr>
                <w:rFonts w:asciiTheme="majorHAnsi" w:hAnsiTheme="majorHAnsi"/>
                <w:color w:val="auto"/>
              </w:rPr>
              <w:t xml:space="preserve"> </w:t>
            </w:r>
          </w:p>
        </w:tc>
        <w:tc>
          <w:tcPr>
            <w:tcW w:w="2404" w:type="dxa"/>
            <w:noWrap/>
            <w:hideMark/>
          </w:tcPr>
          <w:p w:rsidR="00085978" w:rsidRPr="00FE3965" w:rsidRDefault="00085978" w:rsidP="008F4C6D">
            <w:pPr>
              <w:rPr>
                <w:rFonts w:asciiTheme="majorHAnsi" w:hAnsiTheme="majorHAnsi"/>
                <w:color w:val="auto"/>
              </w:rPr>
            </w:pPr>
            <w:r w:rsidRPr="00FE3965">
              <w:rPr>
                <w:rFonts w:asciiTheme="majorHAnsi" w:hAnsiTheme="majorHAnsi"/>
                <w:color w:val="auto"/>
              </w:rPr>
              <w:t>nucleus</w:t>
            </w:r>
          </w:p>
        </w:tc>
        <w:tc>
          <w:tcPr>
            <w:tcW w:w="2303" w:type="dxa"/>
            <w:noWrap/>
            <w:hideMark/>
          </w:tcPr>
          <w:p w:rsidR="00085978" w:rsidRPr="00FE3965" w:rsidRDefault="00085978" w:rsidP="008F4C6D">
            <w:pPr>
              <w:rPr>
                <w:rFonts w:asciiTheme="majorHAnsi" w:hAnsiTheme="majorHAnsi"/>
                <w:color w:val="auto"/>
              </w:rPr>
            </w:pPr>
            <w:r w:rsidRPr="00FE3965">
              <w:rPr>
                <w:rFonts w:asciiTheme="majorHAnsi" w:hAnsiTheme="majorHAnsi"/>
                <w:color w:val="auto"/>
              </w:rPr>
              <w:t>Bone marrow, whole blood</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Enzyme</w:t>
            </w:r>
          </w:p>
        </w:tc>
      </w:tr>
      <w:tr w:rsidR="00984605" w:rsidRPr="00FE3965" w:rsidTr="00FE3965">
        <w:trPr>
          <w:trHeight w:val="20"/>
          <w:jc w:val="center"/>
        </w:trPr>
        <w:tc>
          <w:tcPr>
            <w:tcW w:w="104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CXorf23</w:t>
            </w:r>
          </w:p>
        </w:tc>
        <w:tc>
          <w:tcPr>
            <w:tcW w:w="104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CXorf23</w:t>
            </w:r>
          </w:p>
        </w:tc>
        <w:tc>
          <w:tcPr>
            <w:tcW w:w="1529"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 xml:space="preserve"> chromosome X open reading frame 23 |uncharacterized protein CXorf23</w:t>
            </w:r>
            <w:r w:rsidR="006C4227" w:rsidRPr="00FE3965">
              <w:rPr>
                <w:rFonts w:asciiTheme="majorHAnsi" w:hAnsiTheme="majorHAnsi"/>
                <w:color w:val="auto"/>
              </w:rPr>
              <w:t xml:space="preserve"> </w:t>
            </w:r>
          </w:p>
        </w:tc>
        <w:tc>
          <w:tcPr>
            <w:tcW w:w="2404"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GO:0005739 mitochondrion | GO:0005634</w:t>
            </w:r>
            <w:r w:rsidR="006C4227" w:rsidRPr="00FE3965">
              <w:rPr>
                <w:rFonts w:asciiTheme="majorHAnsi" w:hAnsiTheme="majorHAnsi"/>
                <w:color w:val="auto"/>
              </w:rPr>
              <w:t xml:space="preserve"> </w:t>
            </w:r>
            <w:r w:rsidRPr="00FE3965">
              <w:rPr>
                <w:rFonts w:asciiTheme="majorHAnsi" w:hAnsiTheme="majorHAnsi"/>
                <w:color w:val="auto"/>
              </w:rPr>
              <w:t xml:space="preserve">Nucleus </w:t>
            </w:r>
          </w:p>
        </w:tc>
        <w:tc>
          <w:tcPr>
            <w:tcW w:w="2303" w:type="dxa"/>
            <w:hideMark/>
          </w:tcPr>
          <w:p w:rsidR="00085978" w:rsidRPr="00FE3965" w:rsidRDefault="00085978" w:rsidP="008F4C6D">
            <w:pPr>
              <w:rPr>
                <w:rFonts w:asciiTheme="majorHAnsi" w:hAnsiTheme="majorHAnsi"/>
                <w:color w:val="auto"/>
              </w:rPr>
            </w:pPr>
            <w:r w:rsidRPr="00FE3965">
              <w:rPr>
                <w:rFonts w:asciiTheme="majorHAnsi" w:hAnsiTheme="majorHAnsi"/>
                <w:color w:val="auto"/>
              </w:rPr>
              <w:t>Peripheral blood lymphocytes</w:t>
            </w:r>
          </w:p>
        </w:tc>
        <w:tc>
          <w:tcPr>
            <w:tcW w:w="2074" w:type="dxa"/>
            <w:hideMark/>
          </w:tcPr>
          <w:p w:rsidR="00085978" w:rsidRPr="00FE3965" w:rsidRDefault="00085978" w:rsidP="008F4C6D">
            <w:pPr>
              <w:rPr>
                <w:rFonts w:asciiTheme="majorHAnsi" w:hAnsiTheme="majorHAnsi"/>
                <w:bCs/>
                <w:color w:val="auto"/>
              </w:rPr>
            </w:pPr>
            <w:r w:rsidRPr="00FE3965">
              <w:rPr>
                <w:rFonts w:asciiTheme="majorHAnsi" w:hAnsiTheme="majorHAnsi"/>
                <w:bCs/>
                <w:color w:val="auto"/>
              </w:rPr>
              <w:t>Phosphoprotein | Receptor</w:t>
            </w:r>
          </w:p>
        </w:tc>
      </w:tr>
    </w:tbl>
    <w:p w:rsidR="00E72BFE" w:rsidRPr="008F4C6D" w:rsidRDefault="00E72BFE" w:rsidP="008F4C6D">
      <w:pPr>
        <w:spacing w:after="0" w:line="240" w:lineRule="auto"/>
        <w:rPr>
          <w:rFonts w:asciiTheme="majorHAnsi" w:hAnsiTheme="majorHAnsi"/>
          <w:color w:val="auto"/>
          <w:sz w:val="16"/>
          <w:szCs w:val="16"/>
        </w:rPr>
      </w:pPr>
    </w:p>
    <w:p w:rsidR="00B1509C" w:rsidRPr="008F4C6D" w:rsidRDefault="00B1509C" w:rsidP="008F4C6D">
      <w:pPr>
        <w:tabs>
          <w:tab w:val="left" w:pos="720"/>
        </w:tabs>
        <w:spacing w:after="0" w:line="240" w:lineRule="auto"/>
        <w:rPr>
          <w:rFonts w:asciiTheme="majorHAnsi" w:eastAsia="Times New Roman" w:hAnsiTheme="majorHAnsi"/>
          <w:bCs/>
          <w:color w:val="auto"/>
          <w:sz w:val="16"/>
          <w:szCs w:val="16"/>
        </w:rPr>
      </w:pPr>
      <w:r w:rsidRPr="0097235A">
        <w:rPr>
          <w:rFonts w:asciiTheme="majorHAnsi" w:eastAsia="Times New Roman" w:hAnsiTheme="majorHAnsi"/>
          <w:b/>
          <w:bCs/>
          <w:color w:val="auto"/>
          <w:sz w:val="16"/>
          <w:szCs w:val="16"/>
        </w:rPr>
        <w:t>Table 2</w:t>
      </w:r>
      <w:r w:rsidR="00B33013" w:rsidRPr="0097235A">
        <w:rPr>
          <w:rFonts w:asciiTheme="majorHAnsi" w:eastAsia="Times New Roman" w:hAnsiTheme="majorHAnsi"/>
          <w:b/>
          <w:bCs/>
          <w:color w:val="auto"/>
          <w:sz w:val="16"/>
          <w:szCs w:val="16"/>
        </w:rPr>
        <w:t>:</w:t>
      </w:r>
      <w:r w:rsidRPr="008F4C6D">
        <w:rPr>
          <w:rFonts w:asciiTheme="majorHAnsi" w:eastAsia="Times New Roman" w:hAnsiTheme="majorHAnsi"/>
          <w:b/>
          <w:bCs/>
          <w:color w:val="auto"/>
          <w:sz w:val="16"/>
          <w:szCs w:val="16"/>
        </w:rPr>
        <w:t xml:space="preserve"> </w:t>
      </w:r>
      <w:r w:rsidRPr="008F4C6D">
        <w:rPr>
          <w:rFonts w:asciiTheme="majorHAnsi" w:eastAsia="Times New Roman" w:hAnsiTheme="majorHAnsi"/>
          <w:bCs/>
          <w:color w:val="auto"/>
          <w:sz w:val="16"/>
          <w:szCs w:val="16"/>
        </w:rPr>
        <w:t>Novel ORFs in the human proteome associated with Ebola Virus Disease</w:t>
      </w:r>
      <w:r w:rsidR="00B33013" w:rsidRPr="008F4C6D">
        <w:rPr>
          <w:rFonts w:asciiTheme="majorHAnsi" w:eastAsia="Times New Roman" w:hAnsiTheme="majorHAnsi"/>
          <w:bCs/>
          <w:color w:val="auto"/>
          <w:sz w:val="16"/>
          <w:szCs w:val="16"/>
        </w:rPr>
        <w:t>.</w:t>
      </w:r>
    </w:p>
    <w:p w:rsidR="006E6B49" w:rsidRPr="008F4C6D" w:rsidRDefault="00B1509C" w:rsidP="008F4C6D">
      <w:pPr>
        <w:tabs>
          <w:tab w:val="left" w:pos="720"/>
        </w:tabs>
        <w:spacing w:after="0" w:line="240" w:lineRule="auto"/>
        <w:rPr>
          <w:rFonts w:asciiTheme="majorHAnsi" w:eastAsia="Times New Roman" w:hAnsiTheme="majorHAnsi"/>
          <w:color w:val="auto"/>
          <w:sz w:val="16"/>
          <w:szCs w:val="16"/>
        </w:rPr>
      </w:pPr>
      <w:r w:rsidRPr="008F4C6D">
        <w:rPr>
          <w:rFonts w:asciiTheme="majorHAnsi" w:eastAsia="Times New Roman" w:hAnsiTheme="majorHAnsi"/>
          <w:color w:val="auto"/>
          <w:sz w:val="16"/>
          <w:szCs w:val="16"/>
        </w:rPr>
        <w:t>The uncharacterized ORFs associated with EVD were subjected to Gene Ontology, protein expression analysis and motif and domain analysis. The sub cellular location, process and function are shown for GO. Expression in body fluids as analyzed by MOPED and ProteomicsDB is shown for the ORFs. The putative class of the ORFs inferred from the motif and domain analysis tools is shown in the last column.</w:t>
      </w:r>
      <w:r w:rsidR="00CE1C2C" w:rsidRPr="008F4C6D">
        <w:rPr>
          <w:rFonts w:asciiTheme="majorHAnsi" w:eastAsia="Times New Roman" w:hAnsiTheme="majorHAnsi"/>
          <w:color w:val="auto"/>
          <w:sz w:val="16"/>
          <w:szCs w:val="16"/>
        </w:rPr>
        <w:t xml:space="preserve"> </w:t>
      </w:r>
      <w:r w:rsidRPr="008F4C6D">
        <w:rPr>
          <w:rFonts w:asciiTheme="majorHAnsi" w:eastAsia="MS Gothic" w:hAnsi="MS Gothic" w:cs="MS Gothic"/>
          <w:color w:val="auto"/>
          <w:sz w:val="16"/>
          <w:szCs w:val="16"/>
        </w:rPr>
        <w:t>★</w:t>
      </w:r>
      <w:r w:rsidRPr="008F4C6D">
        <w:rPr>
          <w:rFonts w:asciiTheme="majorHAnsi" w:eastAsia="Times New Roman" w:hAnsiTheme="majorHAnsi"/>
          <w:color w:val="auto"/>
          <w:sz w:val="16"/>
          <w:szCs w:val="16"/>
        </w:rPr>
        <w:t xml:space="preserve"> Secreted, signal peptide positive. ¶, lincRNAs</w:t>
      </w:r>
    </w:p>
    <w:p w:rsidR="00B1509C" w:rsidRPr="008F4C6D" w:rsidRDefault="00B1509C" w:rsidP="008F4C6D">
      <w:pPr>
        <w:tabs>
          <w:tab w:val="left" w:pos="720"/>
        </w:tabs>
        <w:spacing w:after="0" w:line="240" w:lineRule="auto"/>
        <w:rPr>
          <w:rFonts w:asciiTheme="majorHAnsi" w:eastAsia="Times New Roman" w:hAnsiTheme="majorHAnsi"/>
          <w:color w:val="auto"/>
          <w:sz w:val="16"/>
          <w:szCs w:val="16"/>
        </w:rPr>
      </w:pPr>
      <w:r w:rsidRPr="008F4C6D">
        <w:rPr>
          <w:rFonts w:asciiTheme="majorHAnsi" w:eastAsia="Times New Roman" w:hAnsiTheme="majorHAnsi"/>
          <w:color w:val="auto"/>
          <w:sz w:val="16"/>
          <w:szCs w:val="16"/>
        </w:rPr>
        <w:t>EVD: Ebola Virus Disease; ORF: Open Reading Frame; GO: Gene Ontology; MOPED: Multi Omics Protein Expression Database; ncRNA: Noncoding RNA; ProteomicsDB: Proteomics Database.</w:t>
      </w:r>
    </w:p>
    <w:sectPr w:rsidR="00B1509C" w:rsidRPr="008F4C6D" w:rsidSect="008F4C6D">
      <w:pgSz w:w="11909" w:h="16834" w:code="9"/>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085978"/>
    <w:rsid w:val="00085978"/>
    <w:rsid w:val="00291019"/>
    <w:rsid w:val="00594449"/>
    <w:rsid w:val="006447AC"/>
    <w:rsid w:val="006C4227"/>
    <w:rsid w:val="006E6B49"/>
    <w:rsid w:val="0070138E"/>
    <w:rsid w:val="007209F7"/>
    <w:rsid w:val="00851F53"/>
    <w:rsid w:val="008B23E9"/>
    <w:rsid w:val="008F4C6D"/>
    <w:rsid w:val="0093136D"/>
    <w:rsid w:val="0097235A"/>
    <w:rsid w:val="00984605"/>
    <w:rsid w:val="00A4264F"/>
    <w:rsid w:val="00AA4D89"/>
    <w:rsid w:val="00B1509C"/>
    <w:rsid w:val="00B33013"/>
    <w:rsid w:val="00B43882"/>
    <w:rsid w:val="00BA7C5A"/>
    <w:rsid w:val="00C01ED2"/>
    <w:rsid w:val="00C257E5"/>
    <w:rsid w:val="00C2754F"/>
    <w:rsid w:val="00CE1C2C"/>
    <w:rsid w:val="00DA401F"/>
    <w:rsid w:val="00DF48E2"/>
    <w:rsid w:val="00E72BFE"/>
    <w:rsid w:val="00E81270"/>
    <w:rsid w:val="00FE396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36D"/>
    <w:pPr>
      <w:suppressAutoHyphens/>
    </w:pPr>
    <w:rPr>
      <w:rFonts w:ascii="Calibri" w:hAnsi="Calibri" w:cs="Times New Roman"/>
      <w:color w:val="00000A"/>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0514900">
      <w:bodyDiv w:val="1"/>
      <w:marLeft w:val="0"/>
      <w:marRight w:val="0"/>
      <w:marTop w:val="0"/>
      <w:marBottom w:val="0"/>
      <w:divBdr>
        <w:top w:val="none" w:sz="0" w:space="0" w:color="auto"/>
        <w:left w:val="none" w:sz="0" w:space="0" w:color="auto"/>
        <w:bottom w:val="none" w:sz="0" w:space="0" w:color="auto"/>
        <w:right w:val="none" w:sz="0" w:space="0" w:color="auto"/>
      </w:divBdr>
    </w:div>
    <w:div w:id="77575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JSMTECH</cp:lastModifiedBy>
  <cp:revision>17</cp:revision>
  <dcterms:created xsi:type="dcterms:W3CDTF">2014-12-08T09:53:00Z</dcterms:created>
  <dcterms:modified xsi:type="dcterms:W3CDTF">2014-12-14T05:20:00Z</dcterms:modified>
</cp:coreProperties>
</file>